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综合业务</w:t>
      </w:r>
      <w:r>
        <w:rPr>
          <w:rFonts w:eastAsia="方正小标宋_GBK"/>
          <w:kern w:val="0"/>
          <w:sz w:val="48"/>
          <w:szCs w:val="48"/>
        </w:rPr>
        <w:t>资金项目支出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项目名称：</w:t>
      </w:r>
      <w:r>
        <w:rPr>
          <w:rFonts w:hint="eastAsia" w:eastAsia="仿宋_GB2312"/>
          <w:kern w:val="0"/>
          <w:sz w:val="36"/>
          <w:szCs w:val="36"/>
          <w:lang w:eastAsia="zh-CN"/>
        </w:rPr>
        <w:t>综合业务</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lang w:eastAsia="zh-CN"/>
        </w:rPr>
        <w:t>新</w:t>
      </w:r>
      <w:r>
        <w:rPr>
          <w:rFonts w:hint="eastAsia" w:eastAsia="仿宋_GB2312"/>
          <w:kern w:val="0"/>
          <w:sz w:val="36"/>
          <w:szCs w:val="36"/>
        </w:rPr>
        <w:t>疆维吾尔自治区司法鉴定科学技术研究所</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新</w:t>
      </w:r>
      <w:r>
        <w:rPr>
          <w:rFonts w:hint="eastAsia" w:eastAsia="仿宋_GB2312"/>
          <w:kern w:val="0"/>
          <w:sz w:val="36"/>
          <w:szCs w:val="36"/>
        </w:rPr>
        <w:t>疆维吾尔自治区司法</w:t>
      </w:r>
      <w:r>
        <w:rPr>
          <w:rFonts w:hint="eastAsia" w:eastAsia="仿宋_GB2312"/>
          <w:kern w:val="0"/>
          <w:sz w:val="36"/>
          <w:szCs w:val="36"/>
          <w:lang w:eastAsia="zh-CN"/>
        </w:rPr>
        <w:t>厅</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孟滟</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2023</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16</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1"/>
          <w:rFonts w:eastAsia="黑体"/>
          <w:b w:val="0"/>
          <w:spacing w:val="-4"/>
          <w:sz w:val="32"/>
          <w:szCs w:val="32"/>
        </w:rPr>
      </w:pPr>
    </w:p>
    <w:p>
      <w:pPr>
        <w:spacing w:line="600" w:lineRule="exact"/>
        <w:rPr>
          <w:rFonts w:eastAsia="黑体"/>
          <w:bCs/>
          <w:sz w:val="32"/>
          <w:szCs w:val="32"/>
        </w:rPr>
      </w:pPr>
    </w:p>
    <w:p>
      <w:pPr>
        <w:pStyle w:val="2"/>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一、基本情况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bCs/>
          <w:sz w:val="32"/>
          <w:szCs w:val="32"/>
        </w:rPr>
      </w:pPr>
      <w:r>
        <w:rPr>
          <w:rFonts w:eastAsia="仿宋_GB2312"/>
          <w:b/>
          <w:bCs/>
          <w:sz w:val="32"/>
          <w:szCs w:val="32"/>
        </w:rPr>
        <w:t>1、项目背景</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研究所承担着开展司法鉴定科学技术理论研究工作；承办司法机关委托的重大、疑难、复杂案件的鉴定和社会鉴定机构多次鉴定仍有争议的鉴定案件；承担国家部委和自治区有关部门重点科技攻关项目；承担社会委托鉴定案件。综合业务项目经费用于科研所银行账户手续费工本费年费的扣缴，保证银行账户正常运行。2022年综合业务项目其他资金0.05万元。截至2022年12月31日，该项目资金共使用0.05万元，使用率100%。</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仿宋_GB2312"/>
          <w:kern w:val="2"/>
          <w:lang w:eastAsia="zh-CN"/>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r>
        <w:rPr>
          <w:rFonts w:hint="eastAsia" w:ascii="Times New Roman" w:hAnsi="Times New Roman" w:eastAsia="仿宋_GB2312"/>
          <w:kern w:val="2"/>
          <w:lang w:eastAsia="zh-CN"/>
        </w:rPr>
        <w:t>及实施情况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Style w:val="21"/>
          <w:rFonts w:ascii="楷体" w:hAnsi="楷体" w:eastAsia="楷体"/>
          <w:spacing w:val="-4"/>
          <w:sz w:val="32"/>
          <w:szCs w:val="32"/>
        </w:rPr>
      </w:pPr>
      <w:r>
        <w:rPr>
          <w:rFonts w:hint="eastAsia" w:eastAsia="仿宋_GB2312"/>
          <w:sz w:val="32"/>
          <w:szCs w:val="32"/>
          <w:lang w:eastAsia="zh-CN"/>
        </w:rPr>
        <w:t>项目主要内容：</w:t>
      </w:r>
      <w:r>
        <w:rPr>
          <w:rFonts w:hint="eastAsia" w:ascii="仿宋_GB2312" w:hAnsi="仿宋_GB2312" w:eastAsia="仿宋_GB2312" w:cs="仿宋_GB2312"/>
          <w:color w:val="000000" w:themeColor="text1"/>
          <w:sz w:val="32"/>
          <w:szCs w:val="32"/>
          <w14:textFill>
            <w14:solidFill>
              <w14:schemeClr w14:val="tx1"/>
            </w14:solidFill>
          </w14:textFill>
        </w:rPr>
        <w:t>用于科研所银行账户手续费工本费年费的扣缴，保证银行账户正常运行。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lang w:val="en-US" w:eastAsia="zh-CN"/>
        </w:rPr>
      </w:pPr>
      <w:r>
        <w:rPr>
          <w:rFonts w:hint="eastAsia" w:eastAsia="仿宋_GB2312"/>
          <w:sz w:val="32"/>
          <w:szCs w:val="32"/>
          <w:lang w:eastAsia="zh-CN"/>
        </w:rPr>
        <w:t>按要求设定了产出指标</w:t>
      </w:r>
      <w:r>
        <w:rPr>
          <w:rFonts w:hint="eastAsia" w:eastAsia="仿宋_GB2312"/>
          <w:sz w:val="32"/>
          <w:szCs w:val="32"/>
          <w:lang w:val="en-US" w:eastAsia="zh-CN"/>
        </w:rPr>
        <w:t>4条，分别是数量指标1条（银行扣费次数=10次）、质量指标1条（资金准确率=100%）、时效指标1条（资金支付及时性=100%）、成本指标1条（项目预算控制率=100%）；效益指标1条，为社会效益指标（有效保障账户正常运行）；满意度指标2条（工作人员满意度≥90%银行满意度=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本项目总投资</w:t>
      </w:r>
      <w:r>
        <w:rPr>
          <w:rFonts w:hint="eastAsia" w:eastAsia="仿宋_GB2312"/>
          <w:sz w:val="32"/>
          <w:szCs w:val="32"/>
          <w:lang w:val="en-US" w:eastAsia="zh-CN"/>
        </w:rPr>
        <w:t>0.05</w:t>
      </w:r>
      <w:r>
        <w:rPr>
          <w:rFonts w:hint="eastAsia" w:eastAsia="仿宋_GB2312"/>
          <w:sz w:val="32"/>
          <w:szCs w:val="32"/>
        </w:rPr>
        <w:t>万元，其中：财政拨款资金</w:t>
      </w:r>
      <w:r>
        <w:rPr>
          <w:rFonts w:hint="eastAsia" w:eastAsia="仿宋_GB2312"/>
          <w:sz w:val="32"/>
          <w:szCs w:val="32"/>
          <w:lang w:val="en-US" w:eastAsia="zh-CN"/>
        </w:rPr>
        <w:t>0</w:t>
      </w:r>
      <w:r>
        <w:rPr>
          <w:rFonts w:hint="eastAsia" w:eastAsia="仿宋_GB2312"/>
          <w:sz w:val="32"/>
          <w:szCs w:val="32"/>
        </w:rPr>
        <w:t>万元。其他资金</w:t>
      </w:r>
      <w:r>
        <w:rPr>
          <w:rFonts w:hint="eastAsia" w:eastAsia="仿宋_GB2312"/>
          <w:sz w:val="32"/>
          <w:szCs w:val="32"/>
          <w:lang w:val="en-US" w:eastAsia="zh-CN"/>
        </w:rPr>
        <w:t>0.05</w:t>
      </w:r>
      <w:r>
        <w:rPr>
          <w:rFonts w:hint="eastAsia" w:eastAsia="仿宋_GB2312"/>
          <w:sz w:val="32"/>
          <w:szCs w:val="32"/>
        </w:rPr>
        <w:t>万元。项目实际支出</w:t>
      </w:r>
      <w:r>
        <w:rPr>
          <w:rFonts w:hint="eastAsia" w:eastAsia="仿宋_GB2312"/>
          <w:sz w:val="32"/>
          <w:szCs w:val="32"/>
          <w:lang w:val="en-US" w:eastAsia="zh-CN"/>
        </w:rPr>
        <w:t>0.05</w:t>
      </w:r>
      <w:r>
        <w:rPr>
          <w:rFonts w:hint="eastAsia" w:eastAsia="仿宋_GB2312"/>
          <w:sz w:val="32"/>
          <w:szCs w:val="32"/>
        </w:rPr>
        <w:t>万元，支出率为</w:t>
      </w:r>
      <w:r>
        <w:rPr>
          <w:rFonts w:hint="eastAsia" w:eastAsia="仿宋_GB2312"/>
          <w:sz w:val="32"/>
          <w:szCs w:val="32"/>
          <w:lang w:val="en-US" w:eastAsia="zh-CN"/>
        </w:rPr>
        <w:t>100</w:t>
      </w:r>
      <w:r>
        <w:rPr>
          <w:rFonts w:hint="eastAsia"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eastAsia="仿宋_GB2312"/>
          <w:b/>
          <w:bCs/>
          <w:sz w:val="32"/>
          <w:szCs w:val="32"/>
        </w:rPr>
      </w:pPr>
      <w:r>
        <w:rPr>
          <w:rFonts w:eastAsia="仿宋_GB2312"/>
          <w:b/>
          <w:bCs/>
          <w:sz w:val="32"/>
          <w:szCs w:val="32"/>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20"/>
          <w:szCs w:val="20"/>
        </w:rPr>
      </w:pPr>
      <w:r>
        <w:rPr>
          <w:rFonts w:eastAsia="仿宋_GB2312"/>
          <w:sz w:val="32"/>
          <w:szCs w:val="32"/>
        </w:rPr>
        <w:t>（1）资金安排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项目总投资</w:t>
      </w:r>
      <w:r>
        <w:rPr>
          <w:rFonts w:hint="eastAsia" w:eastAsia="仿宋_GB2312"/>
          <w:sz w:val="32"/>
          <w:szCs w:val="32"/>
          <w:lang w:val="en-US" w:eastAsia="zh-CN"/>
        </w:rPr>
        <w:t>0.05</w:t>
      </w:r>
      <w:r>
        <w:rPr>
          <w:rFonts w:hint="eastAsia" w:eastAsia="仿宋_GB2312"/>
          <w:sz w:val="32"/>
          <w:szCs w:val="32"/>
        </w:rPr>
        <w:t>万元，按照单位财务制度等相关规定，资金支出符合</w:t>
      </w:r>
      <w:r>
        <w:rPr>
          <w:rFonts w:hint="eastAsia" w:eastAsia="仿宋_GB2312"/>
          <w:sz w:val="32"/>
          <w:szCs w:val="32"/>
          <w:lang w:eastAsia="zh-CN"/>
        </w:rPr>
        <w:t>综合业务</w:t>
      </w:r>
      <w:r>
        <w:rPr>
          <w:rFonts w:hint="eastAsia" w:eastAsia="仿宋_GB2312"/>
          <w:sz w:val="32"/>
          <w:szCs w:val="32"/>
        </w:rPr>
        <w:t>项目资金费用范围，做到了专款专用。在项目资金拨付和使用过程中，为确保项目资金的安全性，提高项目资金使用效率，严格遵循</w:t>
      </w:r>
      <w:r>
        <w:rPr>
          <w:rFonts w:hint="eastAsia" w:eastAsia="仿宋_GB2312"/>
          <w:sz w:val="32"/>
          <w:szCs w:val="32"/>
          <w:lang w:eastAsia="zh-CN"/>
        </w:rPr>
        <w:t>综合业务</w:t>
      </w:r>
      <w:r>
        <w:rPr>
          <w:rFonts w:hint="eastAsia" w:eastAsia="仿宋_GB2312"/>
          <w:sz w:val="32"/>
          <w:szCs w:val="32"/>
        </w:rPr>
        <w:t>项目资金的拨付程序，认真审核项目实施各阶段的相关材料和手续，根据项目实施进展情况拨付资金。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（2）预算资金来源及使用情况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项目预算资金来源于</w:t>
      </w:r>
      <w:r>
        <w:rPr>
          <w:rFonts w:hint="eastAsia" w:eastAsia="仿宋_GB2312"/>
          <w:sz w:val="32"/>
          <w:szCs w:val="32"/>
          <w:lang w:eastAsia="zh-CN"/>
        </w:rPr>
        <w:t>其他资金</w:t>
      </w:r>
      <w:r>
        <w:rPr>
          <w:rFonts w:hint="eastAsia" w:eastAsia="仿宋_GB2312"/>
          <w:sz w:val="32"/>
          <w:szCs w:val="32"/>
        </w:rPr>
        <w:t>，项目资金到位</w:t>
      </w:r>
      <w:r>
        <w:rPr>
          <w:rFonts w:hint="eastAsia" w:eastAsia="仿宋_GB2312"/>
          <w:sz w:val="32"/>
          <w:szCs w:val="32"/>
          <w:lang w:val="en-US" w:eastAsia="zh-CN"/>
        </w:rPr>
        <w:t>0.05</w:t>
      </w:r>
      <w:r>
        <w:rPr>
          <w:rFonts w:hint="eastAsia" w:eastAsia="仿宋_GB2312"/>
          <w:sz w:val="32"/>
          <w:szCs w:val="32"/>
        </w:rPr>
        <w:t>万元，用于科研所银行账户手续费工本费年费的扣缴，保证银行账户正常运行。</w:t>
      </w:r>
      <w:r>
        <w:rPr>
          <w:rFonts w:hint="eastAsia" w:eastAsia="仿宋_GB2312"/>
          <w:sz w:val="32"/>
          <w:szCs w:val="32"/>
          <w:lang w:val="en-US" w:eastAsia="zh-CN"/>
        </w:rPr>
        <w:t>2022年综合业务项目</w:t>
      </w:r>
      <w:r>
        <w:rPr>
          <w:rFonts w:hint="eastAsia" w:eastAsia="仿宋_GB2312"/>
          <w:sz w:val="32"/>
          <w:szCs w:val="32"/>
        </w:rPr>
        <w:t>使用资金数</w:t>
      </w:r>
      <w:r>
        <w:rPr>
          <w:rFonts w:hint="eastAsia" w:eastAsia="仿宋_GB2312"/>
          <w:sz w:val="32"/>
          <w:szCs w:val="32"/>
          <w:lang w:val="en-US" w:eastAsia="zh-CN"/>
        </w:rPr>
        <w:t>0.05</w:t>
      </w:r>
      <w:r>
        <w:rPr>
          <w:rFonts w:hint="eastAsia"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用于科研所银行账户手续费、工本费、年费的扣缴，保障银行账户正常运行。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2、阶段性目标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Style w:val="21"/>
          <w:rFonts w:ascii="楷体" w:hAnsi="楷体" w:eastAsia="楷体"/>
          <w:spacing w:val="-4"/>
          <w:sz w:val="32"/>
          <w:szCs w:val="32"/>
        </w:rPr>
      </w:pPr>
      <w:r>
        <w:rPr>
          <w:rFonts w:hint="eastAsia" w:eastAsia="仿宋_GB2312"/>
          <w:sz w:val="32"/>
          <w:szCs w:val="32"/>
        </w:rPr>
        <w:t>通过</w:t>
      </w:r>
      <w:r>
        <w:rPr>
          <w:rFonts w:hint="eastAsia" w:eastAsia="仿宋_GB2312"/>
          <w:sz w:val="32"/>
          <w:szCs w:val="32"/>
          <w:lang w:eastAsia="zh-CN"/>
        </w:rPr>
        <w:t>综合业务</w:t>
      </w:r>
      <w:r>
        <w:rPr>
          <w:rFonts w:hint="eastAsia" w:eastAsia="仿宋_GB2312"/>
          <w:sz w:val="32"/>
          <w:szCs w:val="32"/>
        </w:rPr>
        <w:t>项目支出，</w:t>
      </w:r>
      <w:r>
        <w:rPr>
          <w:rFonts w:hint="eastAsia" w:ascii="仿宋_GB2312" w:hAnsi="仿宋_GB2312" w:eastAsia="仿宋_GB2312" w:cs="仿宋_GB2312"/>
          <w:color w:val="000000" w:themeColor="text1"/>
          <w:sz w:val="32"/>
          <w:szCs w:val="32"/>
          <w14:textFill>
            <w14:solidFill>
              <w14:schemeClr w14:val="tx1"/>
            </w14:solidFill>
          </w14:textFill>
        </w:rPr>
        <w:t>用于科研所银行账户手续费工本费年费的扣缴，保证银行账户正常运行。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1、绩效评价的目的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w:t>
      </w:r>
      <w:r>
        <w:rPr>
          <w:rFonts w:eastAsia="仿宋_GB2312"/>
          <w:sz w:val="32"/>
          <w:szCs w:val="32"/>
        </w:rPr>
        <w:t>项目在实施前向项目负责人提供财政支出绩效方面的资金管理信息，促进项目支出严格按照资金管理规定进行。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（2）项目绩效管理财政支出运行提供及时、有效的信息。</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综合业务项目所包含的全部项目的内容。</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3、绩效评价的范围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综合业务</w:t>
      </w:r>
      <w:r>
        <w:rPr>
          <w:rFonts w:hint="eastAsia" w:ascii="仿宋_GB2312" w:hAnsi="仿宋_GB2312" w:eastAsia="仿宋_GB2312" w:cs="仿宋_GB2312"/>
          <w:sz w:val="32"/>
          <w:szCs w:val="32"/>
          <w:highlight w:val="none"/>
        </w:rPr>
        <w:t>项目的产出、效益</w:t>
      </w:r>
      <w:r>
        <w:rPr>
          <w:rFonts w:hint="eastAsia" w:ascii="仿宋_GB2312" w:hAnsi="仿宋_GB2312" w:eastAsia="仿宋_GB2312" w:cs="仿宋_GB2312"/>
          <w:sz w:val="32"/>
          <w:szCs w:val="32"/>
          <w:highlight w:val="none"/>
          <w:lang w:eastAsia="zh-CN"/>
        </w:rPr>
        <w:t>、满意度</w:t>
      </w:r>
      <w:r>
        <w:rPr>
          <w:rFonts w:hint="eastAsia" w:ascii="仿宋_GB2312" w:hAnsi="仿宋_GB2312" w:eastAsia="仿宋_GB2312" w:cs="仿宋_GB2312"/>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pPr>
      <w:r>
        <w:rPr>
          <w:rFonts w:eastAsia="楷体_GB2312"/>
          <w:b/>
          <w:bCs/>
          <w:sz w:val="32"/>
          <w:szCs w:val="32"/>
        </w:rPr>
        <w:t>（二）绩效评价原则、评价指标体系（详情见表1）、评价方法、评价标准。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本次项目绩效评价遵循以下基本原则：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（1）确定评价指标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（2）确定权重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000000"/>
          <w:spacing w:val="17"/>
          <w:sz w:val="32"/>
          <w:szCs w:val="32"/>
        </w:rPr>
      </w:pPr>
      <w:r>
        <w:rPr>
          <w:rFonts w:hint="eastAsia" w:eastAsia="仿宋_GB2312"/>
          <w:sz w:val="32"/>
          <w:szCs w:val="32"/>
        </w:rP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（3）确定指标标准值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3、绩效评价方法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eastAsia="仿宋_GB2312"/>
          <w:color w:val="000000"/>
          <w:spacing w:val="17"/>
          <w:sz w:val="32"/>
          <w:szCs w:val="32"/>
        </w:rPr>
      </w:pPr>
      <w:r>
        <w:rPr>
          <w:rFonts w:hint="eastAsia" w:eastAsia="仿宋_GB2312"/>
          <w:color w:val="000000"/>
          <w:spacing w:val="17"/>
          <w:sz w:val="32"/>
          <w:szCs w:val="32"/>
        </w:rPr>
        <w:t>（1）比较法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通过对绩效目标与实施效果、历史与当期情况，综合分析绩效目标实现程度。对项目最终验收情况与年度绩效目标对比、预算资金执行情况等相关因素进行比较。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（2）因素分析法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4、评价标准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绩效评价标准通常包括计划标准、行业标准、历史标准等，用于对绩效指标完成情况进行比较、分析、评价。本次评价主要采用了历史标准。</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sz w:val="30"/>
          <w:szCs w:val="30"/>
        </w:rPr>
      </w:pPr>
      <w:r>
        <w:rPr>
          <w:rFonts w:hint="eastAsia" w:ascii="Times New Roman" w:hAnsi="Times New Roman" w:eastAsia="仿宋_GB2312"/>
          <w:b w:val="0"/>
          <w:bCs w:val="0"/>
        </w:rPr>
        <w:t xml:space="preserve">对办公场所租赁及业务运行费项目进行客观评价，最终评分结果：总得分为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分，属于“优”。其中，项目决策类指标权重为20分，得分</w:t>
      </w:r>
      <w:r>
        <w:rPr>
          <w:rFonts w:hint="eastAsia" w:ascii="Times New Roman" w:hAnsi="Times New Roman" w:eastAsia="仿宋_GB2312"/>
          <w:b w:val="0"/>
          <w:bCs w:val="0"/>
          <w:lang w:eastAsia="zh-CN"/>
        </w:rPr>
        <w:t>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%。项目过程类指标权重为20分，得分为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%。项目产出类指标权重为40分，得分为</w:t>
      </w:r>
      <w:r>
        <w:rPr>
          <w:rFonts w:hint="eastAsia" w:ascii="Times New Roman" w:hAnsi="Times New Roman" w:eastAsia="仿宋_GB2312"/>
          <w:b w:val="0"/>
          <w:bCs w:val="0"/>
          <w:lang w:val="en-US" w:eastAsia="zh-CN"/>
        </w:rPr>
        <w:t>40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%。项目效益类指标权重为20分，得分为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w:t>
      </w:r>
    </w:p>
    <w:p>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tbl>
      <w:tblPr>
        <w:tblStyle w:val="23"/>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bookmarkStart w:id="0" w:name="OLE_LINK1"/>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rFonts w:hint="default" w:eastAsia="宋体"/>
                <w:color w:val="000000"/>
                <w:kern w:val="0"/>
                <w:sz w:val="22"/>
                <w:szCs w:val="22"/>
                <w:highlight w:val="yellow"/>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yellow"/>
                <w:lang w:val="en-US" w:eastAsia="zh-CN" w:bidi="ar-SA"/>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yellow"/>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rPr>
              <w:t>1</w:t>
            </w:r>
            <w:r>
              <w:rPr>
                <w:rFonts w:hint="eastAsia"/>
                <w:color w:val="000000"/>
                <w:kern w:val="0"/>
                <w:sz w:val="22"/>
                <w:szCs w:val="22"/>
                <w:lang w:val="en-US" w:eastAsia="zh-CN"/>
              </w:rPr>
              <w:t>0</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924"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90</w:t>
            </w:r>
            <w:r>
              <w:rPr>
                <w:color w:val="000000"/>
                <w:kern w:val="0"/>
                <w:sz w:val="22"/>
                <w:szCs w:val="22"/>
                <w:highlight w:val="none"/>
              </w:rPr>
              <w:t>%</w:t>
            </w: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bookmarkEnd w:id="0"/>
    </w:tbl>
    <w:p>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eastAsia="黑体"/>
          <w:sz w:val="32"/>
          <w:szCs w:val="32"/>
        </w:rPr>
      </w:pPr>
      <w:r>
        <w:rPr>
          <w:rFonts w:eastAsia="黑体"/>
          <w:sz w:val="32"/>
          <w:szCs w:val="32"/>
        </w:rPr>
        <w:t>四、绩效评价指标分析</w:t>
      </w:r>
    </w:p>
    <w:p>
      <w:pPr>
        <w:pStyle w:val="2"/>
        <w:keepNext w:val="0"/>
        <w:keepLines w:val="0"/>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pPr>
        <w:pStyle w:val="2"/>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立项符合法律法规、相关政策、行业发展规划及部门职责，能反映和考核项目立项依据情况，属于公共财产支持范围，严格遵守中央、地方事权支出责任划分范围原则；项目申请、设立过程符合相关要求，严格按照审批流程准备符合要求的文件、材料；事前已经过必要的可行性研究、绩效评估、集体决策，以上能反映和考核项目立项程序的规范情况；年初结合实际工作内容设定绩效目标，绩效目标依据充分，符合客观实际，能反映和考核项目绩效目标与项目实施的相符情况，依据绩效目标设定的绩效指标清晰、细化、可衡量，能反映和考核项目绩效目标的明细化情况。资金分配额度合理，与单位项目情况相适应。</w:t>
      </w:r>
    </w:p>
    <w:p>
      <w:pPr>
        <w:pStyle w:val="2"/>
        <w:keepNext w:val="0"/>
        <w:keepLines w:val="0"/>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本项目预算资金</w:t>
      </w:r>
      <w:r>
        <w:rPr>
          <w:rFonts w:hint="eastAsia" w:eastAsia="仿宋_GB2312" w:cs="Times New Roman"/>
          <w:b w:val="0"/>
          <w:bCs w:val="0"/>
          <w:kern w:val="28"/>
          <w:sz w:val="32"/>
          <w:szCs w:val="32"/>
          <w:lang w:val="en-US" w:eastAsia="zh-CN" w:bidi="ar-SA"/>
        </w:rPr>
        <w:t>0.05</w:t>
      </w:r>
      <w:r>
        <w:rPr>
          <w:rFonts w:hint="eastAsia" w:ascii="仿宋_GB2312" w:hAnsi="仿宋_GB2312" w:eastAsia="仿宋_GB2312" w:cs="仿宋_GB2312"/>
          <w:sz w:val="32"/>
          <w:szCs w:val="32"/>
        </w:rPr>
        <w:t>万元，实际到位资金</w:t>
      </w:r>
      <w:r>
        <w:rPr>
          <w:rFonts w:hint="eastAsia" w:eastAsia="仿宋_GB2312" w:cs="Times New Roman"/>
          <w:b w:val="0"/>
          <w:bCs w:val="0"/>
          <w:kern w:val="28"/>
          <w:sz w:val="32"/>
          <w:szCs w:val="32"/>
          <w:lang w:val="en-US" w:eastAsia="zh-CN" w:bidi="ar-SA"/>
        </w:rPr>
        <w:t>0.05</w:t>
      </w:r>
      <w:r>
        <w:rPr>
          <w:rFonts w:hint="eastAsia" w:ascii="仿宋_GB2312" w:hAnsi="仿宋_GB2312" w:eastAsia="仿宋_GB2312" w:cs="仿宋_GB2312"/>
          <w:sz w:val="32"/>
          <w:szCs w:val="32"/>
        </w:rPr>
        <w:t>万元，实际支出资金</w:t>
      </w:r>
      <w:r>
        <w:rPr>
          <w:rFonts w:hint="eastAsia" w:eastAsia="仿宋_GB2312" w:cs="Times New Roman"/>
          <w:b w:val="0"/>
          <w:bCs w:val="0"/>
          <w:kern w:val="28"/>
          <w:sz w:val="32"/>
          <w:szCs w:val="32"/>
          <w:lang w:val="en-US" w:eastAsia="zh-CN" w:bidi="ar-SA"/>
        </w:rPr>
        <w:t>0.05</w:t>
      </w:r>
      <w:r>
        <w:rPr>
          <w:rFonts w:hint="eastAsia" w:ascii="仿宋_GB2312" w:hAnsi="仿宋_GB2312" w:eastAsia="仿宋_GB2312" w:cs="仿宋_GB2312"/>
          <w:sz w:val="32"/>
          <w:szCs w:val="32"/>
        </w:rPr>
        <w:t>万元，资金到位率为</w:t>
      </w:r>
      <w:r>
        <w:rPr>
          <w:rFonts w:hint="eastAsia" w:ascii="Times New Roman" w:hAnsi="Times New Roman" w:eastAsia="仿宋_GB2312" w:cs="Times New Roman"/>
          <w:b w:val="0"/>
          <w:bCs w:val="0"/>
          <w:kern w:val="28"/>
          <w:sz w:val="32"/>
          <w:szCs w:val="32"/>
          <w:lang w:val="en-US" w:eastAsia="zh-CN" w:bidi="ar-SA"/>
        </w:rPr>
        <w:t>100</w:t>
      </w:r>
      <w:r>
        <w:rPr>
          <w:rFonts w:hint="eastAsia" w:ascii="仿宋_GB2312" w:hAnsi="仿宋_GB2312" w:eastAsia="仿宋_GB2312" w:cs="仿宋_GB2312"/>
          <w:sz w:val="32"/>
          <w:szCs w:val="32"/>
        </w:rPr>
        <w:t>%，预算执行率为</w:t>
      </w:r>
      <w:r>
        <w:rPr>
          <w:rFonts w:hint="eastAsia" w:eastAsia="仿宋_GB2312" w:cs="Times New Roman"/>
          <w:b w:val="0"/>
          <w:bCs w:val="0"/>
          <w:kern w:val="28"/>
          <w:sz w:val="32"/>
          <w:szCs w:val="32"/>
          <w:lang w:val="en-US" w:eastAsia="zh-CN" w:bidi="ar-SA"/>
        </w:rPr>
        <w:t>100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资金拨付依照完整的审批程序和手续执行；本项目实施过程中严格遵守相关法律法规和相关管理规定，杜绝截留、挤占、挪用、</w:t>
      </w:r>
      <w:r>
        <w:rPr>
          <w:rFonts w:hint="eastAsia" w:ascii="仿宋_GB2312" w:hAnsi="仿宋_GB2312" w:eastAsia="仿宋_GB2312" w:cs="仿宋_GB2312"/>
          <w:sz w:val="32"/>
          <w:szCs w:val="32"/>
          <w:lang w:eastAsia="zh-CN"/>
        </w:rPr>
        <w:t>虚列</w:t>
      </w:r>
      <w:r>
        <w:rPr>
          <w:rFonts w:hint="eastAsia" w:ascii="仿宋_GB2312" w:hAnsi="仿宋_GB2312" w:eastAsia="仿宋_GB2312" w:cs="仿宋_GB2312"/>
          <w:sz w:val="32"/>
          <w:szCs w:val="32"/>
        </w:rPr>
        <w:t>支出等情况发生。</w:t>
      </w:r>
    </w:p>
    <w:p>
      <w:pPr>
        <w:pStyle w:val="2"/>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数量指标方面：</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：银行扣费次数指标，指标值：=</w:t>
      </w:r>
      <w:r>
        <w:rPr>
          <w:rFonts w:hint="eastAsia" w:ascii="Times New Roman" w:hAnsi="Times New Roman" w:eastAsia="仿宋_GB2312" w:cs="Times New Roman"/>
          <w:b w:val="0"/>
          <w:bCs w:val="0"/>
          <w:kern w:val="28"/>
          <w:sz w:val="32"/>
          <w:szCs w:val="32"/>
          <w:lang w:val="en-US" w:eastAsia="zh-CN" w:bidi="ar-SA"/>
        </w:rPr>
        <w:t>10</w:t>
      </w:r>
      <w:r>
        <w:rPr>
          <w:rFonts w:hint="eastAsia" w:ascii="仿宋_GB2312" w:hAnsi="仿宋_GB2312" w:eastAsia="仿宋_GB2312" w:cs="仿宋_GB2312"/>
          <w:b w:val="0"/>
          <w:bCs w:val="0"/>
          <w:kern w:val="2"/>
          <w:sz w:val="32"/>
          <w:szCs w:val="32"/>
          <w:highlight w:val="none"/>
          <w:lang w:val="en-US" w:eastAsia="zh-CN" w:bidi="ar-SA"/>
        </w:rPr>
        <w:t>次，实际完成值：</w:t>
      </w:r>
      <w:r>
        <w:rPr>
          <w:rFonts w:hint="eastAsia" w:ascii="Times New Roman" w:hAnsi="Times New Roman" w:eastAsia="仿宋_GB2312" w:cs="Times New Roman"/>
          <w:b w:val="0"/>
          <w:bCs w:val="0"/>
          <w:kern w:val="28"/>
          <w:sz w:val="32"/>
          <w:szCs w:val="32"/>
          <w:lang w:val="en-US" w:eastAsia="zh-CN" w:bidi="ar-SA"/>
        </w:rPr>
        <w:t>10次</w:t>
      </w:r>
      <w:r>
        <w:rPr>
          <w:rFonts w:hint="eastAsia" w:ascii="仿宋_GB2312" w:hAnsi="仿宋_GB2312" w:eastAsia="仿宋_GB2312" w:cs="仿宋_GB2312"/>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8"/>
          <w:sz w:val="32"/>
          <w:szCs w:val="32"/>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质量指标方面：</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：资金准确率指标，指标值：＝</w:t>
      </w:r>
      <w:r>
        <w:rPr>
          <w:rFonts w:hint="eastAsia" w:ascii="Times New Roman" w:hAnsi="Times New Roman" w:eastAsia="仿宋_GB2312" w:cs="Times New Roman"/>
          <w:b w:val="0"/>
          <w:bCs w:val="0"/>
          <w:kern w:val="28"/>
          <w:sz w:val="32"/>
          <w:szCs w:val="32"/>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8"/>
          <w:sz w:val="32"/>
          <w:szCs w:val="32"/>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8"/>
          <w:sz w:val="32"/>
          <w:szCs w:val="32"/>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Style w:val="51"/>
          <w:rFonts w:ascii="Times New Roman" w:hAnsi="Times New Roman" w:cs="Times New Roman"/>
          <w:b w:val="0"/>
          <w:bCs w:val="0"/>
          <w:color w:val="auto"/>
        </w:rPr>
      </w:pPr>
      <w:r>
        <w:rPr>
          <w:rFonts w:hint="eastAsia" w:ascii="仿宋_GB2312" w:hAnsi="仿宋_GB2312" w:eastAsia="仿宋_GB2312" w:cs="仿宋_GB2312"/>
          <w:b/>
          <w:bCs/>
          <w:kern w:val="2"/>
          <w:sz w:val="32"/>
          <w:szCs w:val="32"/>
          <w:highlight w:val="none"/>
          <w:lang w:val="en-US" w:eastAsia="zh-CN" w:bidi="ar-SA"/>
        </w:rPr>
        <w:t>时效指标方面：</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w:t>
      </w:r>
      <w:r>
        <w:rPr>
          <w:rStyle w:val="51"/>
          <w:rFonts w:hint="eastAsia" w:ascii="Times New Roman" w:hAnsi="Times New Roman" w:cs="Times New Roman"/>
          <w:b w:val="0"/>
          <w:bCs w:val="0"/>
          <w:color w:val="auto"/>
          <w:lang w:val="en-US" w:eastAsia="zh-CN"/>
        </w:rPr>
        <w:t>资金支付及时性指标，指标值：=100%，实际完成值：100%，指标完成率100%。</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成本指标方面：</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w:t>
      </w:r>
      <w:r>
        <w:rPr>
          <w:rStyle w:val="51"/>
          <w:rFonts w:hint="eastAsia" w:ascii="Times New Roman" w:hAnsi="Times New Roman" w:eastAsia="仿宋_GB2312" w:cs="Times New Roman"/>
          <w:b w:val="0"/>
          <w:bCs w:val="0"/>
          <w:color w:val="auto"/>
          <w:lang w:eastAsia="zh-CN"/>
        </w:rPr>
        <w:t>项目预算控制率指标，指标值：＝</w:t>
      </w:r>
      <w:r>
        <w:rPr>
          <w:rStyle w:val="51"/>
          <w:rFonts w:hint="eastAsia" w:ascii="Times New Roman" w:hAnsi="Times New Roman" w:eastAsia="仿宋_GB2312" w:cs="Times New Roman"/>
          <w:b w:val="0"/>
          <w:bCs w:val="0"/>
          <w:color w:val="auto"/>
          <w:lang w:val="en-US" w:eastAsia="zh-CN"/>
        </w:rPr>
        <w:t>100%，实际完成值：100%，</w:t>
      </w:r>
      <w:r>
        <w:rPr>
          <w:rStyle w:val="51"/>
          <w:rFonts w:hint="eastAsia" w:ascii="Times New Roman" w:hAnsi="Times New Roman" w:cs="Times New Roman"/>
          <w:b w:val="0"/>
          <w:bCs w:val="0"/>
          <w:color w:val="auto"/>
          <w:lang w:val="en-US" w:eastAsia="zh-CN"/>
        </w:rPr>
        <w:t>指标完成率100</w:t>
      </w:r>
      <w:r>
        <w:rPr>
          <w:rStyle w:val="51"/>
          <w:rFonts w:hint="eastAsia" w:ascii="Times New Roman" w:hAnsi="Times New Roman" w:eastAsia="仿宋_GB2312" w:cs="Times New Roman"/>
          <w:b w:val="0"/>
          <w:bCs w:val="0"/>
          <w:color w:val="auto"/>
          <w:lang w:val="en-US" w:eastAsia="zh-CN"/>
        </w:rPr>
        <w:t>%。</w:t>
      </w:r>
    </w:p>
    <w:p>
      <w:pPr>
        <w:pStyle w:val="2"/>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rPr>
      </w:pPr>
      <w:r>
        <w:rPr>
          <w:rFonts w:hint="eastAsia" w:ascii="Times New Roman" w:hAnsi="Times New Roman" w:eastAsia="楷体_GB2312"/>
        </w:rPr>
        <w:t>（四）</w:t>
      </w:r>
      <w:r>
        <w:rPr>
          <w:rFonts w:ascii="Times New Roman" w:hAnsi="Times New Roman" w:eastAsia="楷体_GB2312"/>
        </w:rPr>
        <w:t>效益情况</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社会效益指标方面：</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Style w:val="51"/>
          <w:rFonts w:hint="eastAsia" w:ascii="Times New Roman" w:hAnsi="Times New Roman" w:cs="Times New Roman"/>
          <w:b w:val="0"/>
          <w:bCs w:val="0"/>
          <w:color w:val="auto"/>
          <w:lang w:val="en-US" w:eastAsia="zh-CN"/>
        </w:rPr>
        <w:t>1</w:t>
      </w:r>
      <w:r>
        <w:rPr>
          <w:rFonts w:hint="eastAsia" w:ascii="仿宋_GB2312" w:hAnsi="仿宋_GB2312" w:eastAsia="仿宋_GB2312" w:cs="仿宋_GB2312"/>
          <w:b w:val="0"/>
          <w:bCs w:val="0"/>
          <w:kern w:val="2"/>
          <w:sz w:val="32"/>
          <w:szCs w:val="32"/>
          <w:highlight w:val="none"/>
          <w:lang w:val="en-US" w:eastAsia="zh-CN" w:bidi="ar-SA"/>
        </w:rPr>
        <w:t>：保障账户正常运行指标，指标值:有效保障，实际完成值：有效保障，指标完成率</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满意度指标方面：</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8"/>
          <w:sz w:val="32"/>
          <w:szCs w:val="32"/>
          <w:lang w:val="en-US" w:eastAsia="zh-CN" w:bidi="ar-SA"/>
        </w:rPr>
        <w:t>1</w:t>
      </w:r>
      <w:r>
        <w:rPr>
          <w:rFonts w:hint="eastAsia" w:ascii="仿宋_GB2312" w:hAnsi="仿宋_GB2312" w:eastAsia="仿宋_GB2312" w:cs="仿宋_GB2312"/>
          <w:b w:val="0"/>
          <w:bCs w:val="0"/>
          <w:kern w:val="2"/>
          <w:sz w:val="32"/>
          <w:szCs w:val="32"/>
          <w:highlight w:val="none"/>
          <w:lang w:val="en-US" w:eastAsia="zh-CN" w:bidi="ar-SA"/>
        </w:rPr>
        <w:t>：银行满意度指标，指标值：=</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%，实际完成值：</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%，指标完成率</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w:t>
      </w:r>
      <w:r>
        <w:rPr>
          <w:rStyle w:val="51"/>
          <w:rFonts w:hint="eastAsia" w:ascii="Times New Roman" w:hAnsi="Times New Roman" w:cs="Times New Roman"/>
          <w:b w:val="0"/>
          <w:bCs w:val="0"/>
          <w:color w:val="auto"/>
          <w:lang w:val="en-US" w:eastAsia="zh-CN"/>
        </w:rPr>
        <w:t>2</w:t>
      </w:r>
      <w:r>
        <w:rPr>
          <w:rFonts w:hint="eastAsia" w:ascii="仿宋_GB2312" w:hAnsi="仿宋_GB2312" w:eastAsia="仿宋_GB2312" w:cs="仿宋_GB2312"/>
          <w:b w:val="0"/>
          <w:bCs w:val="0"/>
          <w:kern w:val="2"/>
          <w:sz w:val="32"/>
          <w:szCs w:val="32"/>
          <w:highlight w:val="none"/>
          <w:lang w:val="en-US" w:eastAsia="zh-CN" w:bidi="ar-SA"/>
        </w:rPr>
        <w:t>：工作人员满意度指标，指标值：</w:t>
      </w:r>
      <w:r>
        <w:rPr>
          <w:rStyle w:val="51"/>
          <w:rFonts w:hint="eastAsia" w:ascii="Times New Roman" w:hAnsi="Times New Roman" w:cs="Times New Roman"/>
          <w:b w:val="0"/>
          <w:bCs w:val="0"/>
          <w:color w:val="auto"/>
          <w:lang w:val="en-US" w:eastAsia="zh-CN"/>
        </w:rPr>
        <w:t>≥90</w:t>
      </w:r>
      <w:r>
        <w:rPr>
          <w:rFonts w:hint="eastAsia" w:ascii="仿宋_GB2312" w:hAnsi="仿宋_GB2312" w:eastAsia="仿宋_GB2312" w:cs="仿宋_GB2312"/>
          <w:b w:val="0"/>
          <w:bCs w:val="0"/>
          <w:kern w:val="2"/>
          <w:sz w:val="32"/>
          <w:szCs w:val="32"/>
          <w:highlight w:val="none"/>
          <w:lang w:val="en-US" w:eastAsia="zh-CN" w:bidi="ar-SA"/>
        </w:rPr>
        <w:t>%，实际完成值：</w:t>
      </w:r>
      <w:r>
        <w:rPr>
          <w:rStyle w:val="51"/>
          <w:rFonts w:hint="eastAsia" w:ascii="Times New Roman" w:hAnsi="Times New Roman" w:cs="Times New Roman"/>
          <w:b w:val="0"/>
          <w:bCs w:val="0"/>
          <w:color w:val="auto"/>
          <w:lang w:val="en-US" w:eastAsia="zh-CN"/>
        </w:rPr>
        <w:t>90</w:t>
      </w:r>
      <w:r>
        <w:rPr>
          <w:rFonts w:hint="eastAsia" w:ascii="仿宋_GB2312" w:hAnsi="仿宋_GB2312" w:eastAsia="仿宋_GB2312" w:cs="仿宋_GB2312"/>
          <w:b w:val="0"/>
          <w:bCs w:val="0"/>
          <w:kern w:val="2"/>
          <w:sz w:val="32"/>
          <w:szCs w:val="32"/>
          <w:highlight w:val="none"/>
          <w:lang w:val="en-US" w:eastAsia="zh-CN" w:bidi="ar-SA"/>
        </w:rPr>
        <w:t>%，指标完成率</w:t>
      </w:r>
      <w:r>
        <w:rPr>
          <w:rStyle w:val="51"/>
          <w:rFonts w:hint="eastAsia" w:ascii="Times New Roman" w:hAnsi="Times New Roman" w:cs="Times New Roman"/>
          <w:b w:val="0"/>
          <w:bCs w:val="0"/>
          <w:color w:val="auto"/>
          <w:lang w:val="en-US" w:eastAsia="zh-CN"/>
        </w:rPr>
        <w:t>100</w:t>
      </w:r>
      <w:r>
        <w:rPr>
          <w:rFonts w:hint="eastAsia" w:ascii="仿宋_GB2312" w:hAnsi="仿宋_GB2312" w:eastAsia="仿宋_GB2312" w:cs="仿宋_GB2312"/>
          <w:b w:val="0"/>
          <w:bCs w:val="0"/>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黑体"/>
          <w:sz w:val="32"/>
          <w:szCs w:val="32"/>
        </w:rPr>
      </w:pPr>
      <w:r>
        <w:rPr>
          <w:rFonts w:hint="eastAsia" w:eastAsia="黑体"/>
          <w:sz w:val="32"/>
          <w:szCs w:val="32"/>
        </w:rPr>
        <w:t>五、预算执行进度与绩效指标总体完成率偏差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综合业务</w:t>
      </w:r>
      <w:r>
        <w:rPr>
          <w:rFonts w:hint="eastAsia" w:ascii="仿宋_GB2312" w:hAnsi="仿宋_GB2312" w:eastAsia="仿宋_GB2312" w:cs="仿宋_GB2312"/>
          <w:sz w:val="32"/>
          <w:szCs w:val="32"/>
        </w:rPr>
        <w:t>项目年初预算</w:t>
      </w:r>
      <w:r>
        <w:rPr>
          <w:rStyle w:val="51"/>
          <w:rFonts w:hint="eastAsia" w:ascii="Times New Roman" w:hAnsi="Times New Roman" w:cs="Times New Roman"/>
          <w:b w:val="0"/>
          <w:bCs w:val="0"/>
          <w:color w:val="auto"/>
          <w:kern w:val="28"/>
          <w:lang w:val="en-US" w:eastAsia="zh-CN" w:bidi="ar-SA"/>
        </w:rPr>
        <w:t>0.05</w:t>
      </w:r>
      <w:r>
        <w:rPr>
          <w:rFonts w:hint="eastAsia" w:ascii="仿宋_GB2312" w:hAnsi="仿宋_GB2312" w:eastAsia="仿宋_GB2312" w:cs="仿宋_GB2312"/>
          <w:sz w:val="32"/>
          <w:szCs w:val="32"/>
        </w:rPr>
        <w:t>万元，全年预算</w:t>
      </w:r>
      <w:r>
        <w:rPr>
          <w:rStyle w:val="51"/>
          <w:rFonts w:hint="eastAsia" w:ascii="Times New Roman" w:hAnsi="Times New Roman" w:cs="Times New Roman"/>
          <w:b w:val="0"/>
          <w:bCs w:val="0"/>
          <w:color w:val="auto"/>
          <w:kern w:val="28"/>
          <w:lang w:val="en-US" w:eastAsia="zh-CN" w:bidi="ar-SA"/>
        </w:rPr>
        <w:t>0.05</w:t>
      </w:r>
      <w:r>
        <w:rPr>
          <w:rFonts w:hint="eastAsia" w:ascii="仿宋_GB2312" w:hAnsi="仿宋_GB2312" w:eastAsia="仿宋_GB2312" w:cs="仿宋_GB2312"/>
          <w:sz w:val="32"/>
          <w:szCs w:val="32"/>
        </w:rPr>
        <w:t>万元，实际支出</w:t>
      </w:r>
      <w:r>
        <w:rPr>
          <w:rStyle w:val="51"/>
          <w:rFonts w:hint="eastAsia" w:ascii="Times New Roman" w:hAnsi="Times New Roman" w:cs="Times New Roman"/>
          <w:b w:val="0"/>
          <w:bCs w:val="0"/>
          <w:color w:val="auto"/>
          <w:kern w:val="28"/>
          <w:lang w:val="en-US" w:eastAsia="zh-CN" w:bidi="ar-SA"/>
        </w:rPr>
        <w:t>0.05</w:t>
      </w:r>
      <w:r>
        <w:rPr>
          <w:rFonts w:hint="eastAsia" w:ascii="仿宋_GB2312" w:hAnsi="仿宋_GB2312" w:eastAsia="仿宋_GB2312" w:cs="仿宋_GB2312"/>
          <w:sz w:val="32"/>
          <w:szCs w:val="32"/>
        </w:rPr>
        <w:t>万元，预算执行率为</w:t>
      </w:r>
      <w:r>
        <w:rPr>
          <w:rStyle w:val="51"/>
          <w:rFonts w:hint="eastAsia" w:ascii="Times New Roman" w:hAnsi="Times New Roman" w:cs="Times New Roman"/>
          <w:b w:val="0"/>
          <w:bCs w:val="0"/>
          <w:color w:val="auto"/>
          <w:kern w:val="28"/>
          <w:lang w:val="en-US" w:eastAsia="zh-CN" w:bidi="ar-SA"/>
        </w:rPr>
        <w:t>100</w:t>
      </w:r>
      <w:r>
        <w:rPr>
          <w:rFonts w:hint="eastAsia" w:ascii="仿宋_GB2312" w:hAnsi="仿宋_GB2312" w:eastAsia="仿宋_GB2312" w:cs="仿宋_GB2312"/>
          <w:sz w:val="32"/>
          <w:szCs w:val="32"/>
        </w:rPr>
        <w:t>%，项目绩效指标总体完成率为</w:t>
      </w:r>
      <w:r>
        <w:rPr>
          <w:rStyle w:val="51"/>
          <w:rFonts w:hint="eastAsia" w:ascii="Times New Roman" w:hAnsi="Times New Roman" w:cs="Times New Roman"/>
          <w:b w:val="0"/>
          <w:bCs w:val="0"/>
          <w:color w:val="auto"/>
          <w:kern w:val="28"/>
          <w:lang w:val="en-US" w:eastAsia="zh-CN" w:bidi="ar-SA"/>
        </w:rPr>
        <w:t>100</w:t>
      </w:r>
      <w:r>
        <w:rPr>
          <w:rFonts w:hint="eastAsia" w:ascii="仿宋_GB2312" w:hAnsi="仿宋_GB2312" w:eastAsia="仿宋_GB2312" w:cs="仿宋_GB2312"/>
          <w:sz w:val="32"/>
          <w:szCs w:val="32"/>
        </w:rPr>
        <w:t>%，总体偏差率为</w:t>
      </w:r>
      <w:r>
        <w:rPr>
          <w:rStyle w:val="51"/>
          <w:rFonts w:hint="eastAsia" w:ascii="Times New Roman" w:hAnsi="Times New Roman" w:cs="Times New Roman"/>
          <w:b w:val="0"/>
          <w:bCs w:val="0"/>
          <w:color w:val="auto"/>
          <w:kern w:val="28"/>
          <w:lang w:val="en-US" w:eastAsia="zh-CN" w:bidi="ar-SA"/>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Style w:val="51"/>
          <w:rFonts w:ascii="Times New Roman" w:hAnsi="Times New Roman" w:cs="Times New Roman"/>
          <w:color w:val="auto"/>
        </w:rPr>
      </w:pPr>
      <w:r>
        <w:rPr>
          <w:rFonts w:hint="eastAsia" w:eastAsia="黑体"/>
          <w:sz w:val="32"/>
          <w:szCs w:val="32"/>
          <w:lang w:eastAsia="zh-CN"/>
        </w:rPr>
        <w:t>六</w:t>
      </w:r>
      <w:r>
        <w:rPr>
          <w:rFonts w:eastAsia="黑体"/>
          <w:sz w:val="32"/>
          <w:szCs w:val="32"/>
        </w:rPr>
        <w:t>、主要经验及做法、存在的问题及原因分析</w:t>
      </w:r>
    </w:p>
    <w:p>
      <w:pPr>
        <w:pageBreakBefore w:val="0"/>
        <w:kinsoku/>
        <w:wordWrap/>
        <w:overflowPunct/>
        <w:topLinePunct w:val="0"/>
        <w:autoSpaceDE/>
        <w:autoSpaceDN/>
        <w:bidi w:val="0"/>
        <w:adjustRightInd/>
        <w:snapToGrid/>
        <w:spacing w:line="560" w:lineRule="exact"/>
        <w:ind w:firstLine="627" w:firstLineChars="200"/>
        <w:textAlignment w:val="auto"/>
        <w:rPr>
          <w:rFonts w:eastAsia="楷体"/>
          <w:b/>
          <w:spacing w:val="-4"/>
          <w:sz w:val="32"/>
          <w:szCs w:val="32"/>
        </w:rPr>
      </w:pPr>
      <w:r>
        <w:rPr>
          <w:rFonts w:eastAsia="楷体"/>
          <w:b/>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eastAsia="仿宋_GB2312"/>
          <w:sz w:val="32"/>
          <w:szCs w:val="32"/>
        </w:rPr>
        <w:t>定期核对收入，加强对可使用资金的准确把握；规范项目资金管理，严把资金支出审核关；三是规范资金用途，坚决按照实际用途列支。</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eastAsia="仿宋_GB2312"/>
          <w:sz w:val="32"/>
          <w:szCs w:val="32"/>
        </w:rPr>
        <w:t>严格按照《新疆维吾尔自治区司法鉴定科学技术研究所报账制度》、《新疆维吾尔自治区司法鉴定科学技术研究所资金支出办法》等相关制度及办法进行报告支出。项目资金支出先由需使用部门依据使用用途出具资金使用报告，注明资金具体使用用途、金额，物品明细及验收等齐全，逐级批示后使用。对项目进行专门研究讨论及总结，提高预算内容完整性，绩效目标准确性，对项目资金严格把控，合理支出。</w:t>
      </w:r>
    </w:p>
    <w:p>
      <w:pPr>
        <w:keepNext/>
        <w:keepLines/>
        <w:pageBreakBefore w:val="0"/>
        <w:numPr>
          <w:ilvl w:val="0"/>
          <w:numId w:val="3"/>
        </w:numPr>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eastAsia="仿宋_GB2312"/>
          <w:sz w:val="32"/>
          <w:szCs w:val="32"/>
        </w:rPr>
        <w:t>本项目2022年度无存在的问题。</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hint="eastAsia" w:eastAsia="黑体"/>
          <w:sz w:val="32"/>
          <w:szCs w:val="32"/>
          <w:lang w:eastAsia="zh-CN"/>
        </w:rPr>
        <w:t>七、</w:t>
      </w:r>
      <w:r>
        <w:rPr>
          <w:rFonts w:eastAsia="黑体"/>
          <w:sz w:val="32"/>
          <w:szCs w:val="32"/>
        </w:rPr>
        <w:t>有关建议</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kern w:val="2"/>
          <w:sz w:val="32"/>
          <w:szCs w:val="28"/>
          <w:lang w:val="en-US" w:eastAsia="zh-CN" w:bidi="ar-SA"/>
        </w:rPr>
      </w:pPr>
      <w:r>
        <w:rPr>
          <w:rFonts w:hint="eastAsia" w:ascii="仿宋_GB2312" w:hAnsi="仿宋_GB2312" w:eastAsia="仿宋_GB2312" w:cs="仿宋_GB2312"/>
          <w:b w:val="0"/>
          <w:bCs w:val="0"/>
          <w:kern w:val="2"/>
          <w:sz w:val="32"/>
          <w:szCs w:val="28"/>
          <w:lang w:val="en-US" w:eastAsia="zh-CN" w:bidi="ar-SA"/>
        </w:rPr>
        <w:t>通过综合业务项目支出，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按计划目标完成任务，</w:t>
      </w:r>
      <w:r>
        <w:rPr>
          <w:rFonts w:hint="eastAsia" w:ascii="仿宋_GB2312" w:hAnsi="仿宋_GB2312" w:eastAsia="仿宋_GB2312" w:cs="仿宋_GB2312"/>
          <w:color w:val="000000" w:themeColor="text1"/>
          <w:sz w:val="32"/>
          <w:szCs w:val="32"/>
          <w14:textFill>
            <w14:solidFill>
              <w14:schemeClr w14:val="tx1"/>
            </w14:solidFill>
          </w14:textFill>
        </w:rPr>
        <w:t>保障研究所</w:t>
      </w:r>
      <w:r>
        <w:rPr>
          <w:rFonts w:hint="eastAsia" w:ascii="仿宋_GB2312" w:hAnsi="仿宋_GB2312" w:eastAsia="仿宋_GB2312" w:cs="仿宋_GB2312"/>
          <w:color w:val="000000" w:themeColor="text1"/>
          <w:sz w:val="32"/>
          <w:szCs w:val="32"/>
          <w:lang w:eastAsia="zh-CN"/>
          <w14:textFill>
            <w14:solidFill>
              <w14:schemeClr w14:val="tx1"/>
            </w14:solidFill>
          </w14:textFill>
        </w:rPr>
        <w:t>账户正常运行</w:t>
      </w:r>
      <w:r>
        <w:rPr>
          <w:rFonts w:hint="eastAsia" w:ascii="仿宋_GB2312" w:hAnsi="仿宋_GB2312" w:eastAsia="仿宋_GB2312" w:cs="仿宋_GB2312"/>
          <w:color w:val="000000" w:themeColor="text1"/>
          <w:sz w:val="32"/>
          <w:szCs w:val="32"/>
          <w14:textFill>
            <w14:solidFill>
              <w14:schemeClr w14:val="tx1"/>
            </w14:solidFill>
          </w14:textFill>
        </w:rPr>
        <w:t>。</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hint="eastAsia" w:eastAsia="黑体"/>
          <w:sz w:val="32"/>
          <w:szCs w:val="32"/>
          <w:lang w:eastAsia="zh-CN"/>
        </w:rPr>
        <w:t>八、</w:t>
      </w:r>
      <w:r>
        <w:rPr>
          <w:rFonts w:eastAsia="黑体"/>
          <w:sz w:val="32"/>
          <w:szCs w:val="32"/>
        </w:rPr>
        <w:t>其他需要说</w:t>
      </w:r>
      <w:bookmarkStart w:id="1" w:name="page8"/>
      <w:bookmarkEnd w:id="1"/>
      <w:r>
        <w:rPr>
          <w:rFonts w:eastAsia="黑体"/>
          <w:sz w:val="32"/>
          <w:szCs w:val="32"/>
        </w:rPr>
        <w:t>明的问题</w:t>
      </w:r>
    </w:p>
    <w:p>
      <w:pPr>
        <w:pStyle w:val="17"/>
        <w:pageBreakBefore w:val="0"/>
        <w:kinsoku/>
        <w:wordWrap/>
        <w:overflowPunct/>
        <w:topLinePunct w:val="0"/>
        <w:autoSpaceDE/>
        <w:autoSpaceDN/>
        <w:bidi w:val="0"/>
        <w:adjustRightInd/>
        <w:snapToGrid/>
        <w:spacing w:line="560" w:lineRule="exact"/>
        <w:ind w:firstLine="320" w:firstLineChars="100"/>
        <w:textAlignment w:val="auto"/>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本项目无其他需说明的问题。</w:t>
      </w:r>
    </w:p>
    <w:tbl>
      <w:tblPr>
        <w:tblStyle w:val="23"/>
        <w:tblW w:w="8834" w:type="dxa"/>
        <w:tblInd w:w="0" w:type="dxa"/>
        <w:tblLayout w:type="fixed"/>
        <w:tblCellMar>
          <w:top w:w="0" w:type="dxa"/>
          <w:left w:w="0" w:type="dxa"/>
          <w:bottom w:w="0" w:type="dxa"/>
          <w:right w:w="0" w:type="dxa"/>
        </w:tblCellMar>
      </w:tblPr>
      <w:tblGrid>
        <w:gridCol w:w="798"/>
        <w:gridCol w:w="984"/>
        <w:gridCol w:w="1430"/>
        <w:gridCol w:w="1861"/>
        <w:gridCol w:w="825"/>
        <w:gridCol w:w="1453"/>
        <w:gridCol w:w="1483"/>
      </w:tblGrid>
      <w:tr>
        <w:tblPrEx>
          <w:tblLayout w:type="fixed"/>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2</w:t>
            </w:r>
            <w:r>
              <w:rPr>
                <w:kern w:val="0"/>
                <w:sz w:val="22"/>
                <w:szCs w:val="22"/>
                <w:lang w:bidi="ar"/>
              </w:rPr>
              <w:t>年度）</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eastAsia="zh-CN"/>
              </w:rPr>
            </w:pPr>
            <w:r>
              <w:rPr>
                <w:rFonts w:hint="eastAsia"/>
                <w:sz w:val="18"/>
                <w:szCs w:val="18"/>
                <w:lang w:eastAsia="zh-CN"/>
              </w:rPr>
              <w:t>综合业务</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主管部门</w:t>
            </w:r>
          </w:p>
        </w:tc>
        <w:tc>
          <w:tcPr>
            <w:tcW w:w="411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eastAsia="宋体"/>
                <w:sz w:val="18"/>
                <w:szCs w:val="18"/>
                <w:lang w:eastAsia="zh-CN"/>
              </w:rPr>
              <w:t>新疆维吾尔自治区司法鉴定科学技术研究所</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eastAsia="zh-CN"/>
              </w:rPr>
            </w:pPr>
            <w:r>
              <w:rPr>
                <w:rFonts w:hint="eastAsia" w:eastAsia="宋体"/>
                <w:sz w:val="18"/>
                <w:szCs w:val="18"/>
                <w:lang w:eastAsia="zh-CN"/>
              </w:rPr>
              <w:t>新疆维吾尔自治区司法鉴定科学技术研究所</w:t>
            </w:r>
          </w:p>
        </w:tc>
      </w:tr>
      <w:tr>
        <w:tblPrEx>
          <w:tblLayout w:type="fixed"/>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项目资金</w:t>
            </w:r>
          </w:p>
          <w:p>
            <w:pPr>
              <w:widowControl/>
              <w:jc w:val="center"/>
              <w:textAlignment w:val="center"/>
              <w:rPr>
                <w:rFonts w:hint="eastAsia" w:eastAsiaTheme="majorEastAsia"/>
                <w:lang w:eastAsia="zh-CN"/>
              </w:rPr>
            </w:pPr>
            <w:r>
              <w:rPr>
                <w:rFonts w:hint="eastAsia"/>
                <w:kern w:val="0"/>
                <w:sz w:val="18"/>
                <w:szCs w:val="18"/>
                <w:lang w:val="en-US" w:eastAsia="zh-CN" w:bidi="ar"/>
              </w:rPr>
              <w:t>（万元）</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年初预算数</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全年预算数</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执行率</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lang w:bidi="ar"/>
              </w:rPr>
              <w:t>年度资金总额</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0.05</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0.05</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0.05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其中：当年财政拨款</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0</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val="en-US" w:eastAsia="zh-CN"/>
              </w:rPr>
            </w:pPr>
            <w:r>
              <w:rPr>
                <w:rFonts w:hint="eastAsia"/>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val="en-US" w:eastAsia="zh-CN"/>
              </w:rPr>
            </w:pPr>
            <w:r>
              <w:rPr>
                <w:rFonts w:hint="eastAsia"/>
                <w:sz w:val="18"/>
                <w:szCs w:val="18"/>
                <w:lang w:val="en-US" w:eastAsia="zh-CN"/>
              </w:rPr>
              <w:t>-</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上年结转资金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w:t>
            </w:r>
            <w:bookmarkStart w:id="2" w:name="_GoBack"/>
            <w:bookmarkEnd w:id="2"/>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 xml:space="preserve">  其他资金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lang w:val="en-US" w:eastAsia="zh-CN"/>
              </w:rPr>
            </w:pPr>
            <w:r>
              <w:rPr>
                <w:rFonts w:hint="eastAsia"/>
                <w:sz w:val="18"/>
                <w:szCs w:val="18"/>
                <w:lang w:val="en-US" w:eastAsia="zh-CN"/>
              </w:rPr>
              <w:t>0.05</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lang w:val="en-US" w:eastAsia="zh-CN"/>
              </w:rPr>
            </w:pPr>
            <w:r>
              <w:rPr>
                <w:rFonts w:hint="eastAsia"/>
                <w:sz w:val="18"/>
                <w:szCs w:val="18"/>
                <w:lang w:val="en-US" w:eastAsia="zh-CN"/>
              </w:rPr>
              <w:t>0.05</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lang w:val="en-US" w:eastAsia="zh-CN"/>
              </w:rPr>
              <w:t>0.05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lang w:val="en-US" w:eastAsia="zh-CN"/>
              </w:rPr>
              <w:t>100%</w:t>
            </w:r>
          </w:p>
        </w:tc>
      </w:tr>
      <w:tr>
        <w:tblPrEx>
          <w:tblLayout w:type="fixed"/>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年度总体目标</w:t>
            </w:r>
          </w:p>
        </w:tc>
        <w:tc>
          <w:tcPr>
            <w:tcW w:w="5100"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预期目标</w:t>
            </w:r>
          </w:p>
        </w:tc>
        <w:tc>
          <w:tcPr>
            <w:tcW w:w="293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实际完成情况</w:t>
            </w:r>
          </w:p>
        </w:tc>
      </w:tr>
      <w:tr>
        <w:tblPrEx>
          <w:tblLayout w:type="fixed"/>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100"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rFonts w:hint="eastAsia"/>
                <w:kern w:val="0"/>
                <w:sz w:val="18"/>
                <w:szCs w:val="18"/>
                <w:lang w:bidi="ar"/>
              </w:rPr>
              <w:t xml:space="preserve">目标：用于科研所银行账户手续费、工本费、年费的扣缴，保障银行账户正常运行。 </w:t>
            </w:r>
          </w:p>
        </w:tc>
        <w:tc>
          <w:tcPr>
            <w:tcW w:w="293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default" w:eastAsia="宋体"/>
                <w:sz w:val="18"/>
                <w:szCs w:val="18"/>
                <w:lang w:val="en-US" w:eastAsia="zh-CN"/>
              </w:rPr>
              <w:t>用于科研所银行账户手续费、工本费、年费的扣缴，保障银行账户正常运行，实际完成100%。</w:t>
            </w: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绩效指标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一级指标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二级指标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三级指标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年度指标值</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实际完成值</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偏差原因分析及改进措施</w:t>
            </w:r>
          </w:p>
        </w:tc>
      </w:tr>
      <w:tr>
        <w:tblPrEx>
          <w:tblLayout w:type="fixed"/>
          <w:tblCellMar>
            <w:top w:w="0" w:type="dxa"/>
            <w:left w:w="0" w:type="dxa"/>
            <w:bottom w:w="0" w:type="dxa"/>
            <w:right w:w="0" w:type="dxa"/>
          </w:tblCellMar>
        </w:tblPrEx>
        <w:trPr>
          <w:trHeight w:val="595"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产出指标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数量指标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银行扣费次数</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=10次</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65"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质量指标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资金准确率</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04"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时效指标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资金支付及时性</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34"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成本指标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项目预算控制率</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sz w:val="18"/>
                <w:szCs w:val="18"/>
              </w:rPr>
            </w:pPr>
          </w:p>
        </w:tc>
      </w:tr>
      <w:tr>
        <w:tblPrEx>
          <w:tblLayout w:type="fixed"/>
          <w:tblCellMar>
            <w:top w:w="0" w:type="dxa"/>
            <w:left w:w="0" w:type="dxa"/>
            <w:bottom w:w="0" w:type="dxa"/>
            <w:right w:w="0" w:type="dxa"/>
          </w:tblCellMar>
        </w:tblPrEx>
        <w:trPr>
          <w:trHeight w:val="620"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sz w:val="18"/>
                <w:szCs w:val="18"/>
              </w:rPr>
              <w:t>社会效益指标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保障账户正常运行</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有效保障</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有效保障</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52"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经济效益</w:t>
            </w:r>
            <w:r>
              <w:rPr>
                <w:sz w:val="18"/>
                <w:szCs w:val="18"/>
              </w:rPr>
              <w:t>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14"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生态效益</w:t>
            </w:r>
            <w:r>
              <w:rPr>
                <w:sz w:val="18"/>
                <w:szCs w:val="18"/>
              </w:rPr>
              <w:t>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37"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可持续影响指标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eastAsia="zh-CN"/>
              </w:rPr>
            </w:pPr>
            <w:r>
              <w:rPr>
                <w:kern w:val="0"/>
                <w:sz w:val="18"/>
                <w:szCs w:val="18"/>
                <w:lang w:bidi="ar"/>
              </w:rPr>
              <w:t>满意度</w:t>
            </w:r>
            <w:r>
              <w:rPr>
                <w:rFonts w:hint="eastAsia"/>
                <w:kern w:val="0"/>
                <w:sz w:val="18"/>
                <w:szCs w:val="18"/>
                <w:lang w:eastAsia="zh-CN" w:bidi="ar"/>
              </w:rPr>
              <w:t>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kern w:val="0"/>
                <w:sz w:val="18"/>
                <w:szCs w:val="18"/>
                <w:lang w:eastAsia="zh-CN" w:bidi="ar"/>
              </w:rPr>
              <w:t>服务对象</w:t>
            </w:r>
            <w:r>
              <w:rPr>
                <w:kern w:val="0"/>
                <w:sz w:val="18"/>
                <w:szCs w:val="18"/>
                <w:lang w:bidi="ar"/>
              </w:rPr>
              <w:t>满意度指标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银行满意度</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kern w:val="0"/>
                <w:sz w:val="18"/>
                <w:szCs w:val="18"/>
                <w:lang w:eastAsia="zh-CN" w:bidi="ar"/>
              </w:rPr>
            </w:pPr>
            <w:r>
              <w:rPr>
                <w:rFonts w:hint="eastAsia"/>
                <w:kern w:val="0"/>
                <w:sz w:val="18"/>
                <w:szCs w:val="18"/>
                <w:lang w:eastAsia="zh-CN" w:bidi="ar"/>
              </w:rPr>
              <w:t>服务对象</w:t>
            </w:r>
            <w:r>
              <w:rPr>
                <w:kern w:val="0"/>
                <w:sz w:val="18"/>
                <w:szCs w:val="18"/>
                <w:lang w:bidi="ar"/>
              </w:rPr>
              <w:t>满意度指标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工作人员满意度</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eastAsia="zh-CN"/>
              </w:rPr>
              <w:t>≥</w:t>
            </w:r>
            <w:r>
              <w:rPr>
                <w:rFonts w:hint="eastAsia"/>
                <w:sz w:val="18"/>
                <w:szCs w:val="18"/>
                <w:lang w:val="en-US" w:eastAsia="zh-CN"/>
              </w:rPr>
              <w:t>90%</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bl>
    <w:p>
      <w:pPr>
        <w:pStyle w:val="2"/>
        <w:jc w:val="both"/>
        <w:rPr>
          <w:rFonts w:ascii="Times New Roman" w:hAnsi="Times New Roman" w:eastAsia="黑体"/>
          <w:b w:val="0"/>
          <w:bCs w:val="0"/>
        </w:rPr>
      </w:pPr>
    </w:p>
    <w:p>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lang w:val="en-US" w:eastAsia="zh-CN"/>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rPr>
              <w:t>1</w:t>
            </w:r>
            <w:r>
              <w:rPr>
                <w:rFonts w:hint="eastAsia"/>
                <w:b/>
                <w:bCs/>
                <w:color w:val="000000"/>
                <w:kern w:val="0"/>
                <w:sz w:val="22"/>
                <w:szCs w:val="22"/>
                <w:lang w:val="en-US" w:eastAsia="zh-CN"/>
              </w:rPr>
              <w:t>0</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bl>
    <w:p>
      <w:pPr>
        <w:pStyle w:val="2"/>
        <w:rPr>
          <w:rFonts w:ascii="Times New Roman" w:hAnsi="Times New Roman"/>
        </w:rPr>
      </w:pPr>
    </w:p>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ind w:firstLine="640"/>
        <w:rPr>
          <w:rStyle w:val="21"/>
          <w:rFonts w:eastAsia="黑体"/>
          <w:bCs w:val="0"/>
          <w:spacing w:val="-4"/>
          <w:sz w:val="32"/>
          <w:szCs w:val="32"/>
        </w:rPr>
      </w:pPr>
    </w:p>
    <w:p>
      <w:pPr>
        <w:spacing w:line="540" w:lineRule="exact"/>
        <w:rPr>
          <w:rStyle w:val="21"/>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5MzcyNTYyNDIzYzQ0ZDM4Njc0NGI3ODRiZWI3ZDA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5845F29"/>
    <w:rsid w:val="05E51322"/>
    <w:rsid w:val="066D6EAA"/>
    <w:rsid w:val="06DC1681"/>
    <w:rsid w:val="08C662D4"/>
    <w:rsid w:val="09BD4D95"/>
    <w:rsid w:val="0AD15406"/>
    <w:rsid w:val="0B0F58D6"/>
    <w:rsid w:val="0F8D41CB"/>
    <w:rsid w:val="0FEE2F21"/>
    <w:rsid w:val="11C75270"/>
    <w:rsid w:val="12637CC3"/>
    <w:rsid w:val="12E657C5"/>
    <w:rsid w:val="133C6E2A"/>
    <w:rsid w:val="167C7687"/>
    <w:rsid w:val="168B3546"/>
    <w:rsid w:val="1A2374E0"/>
    <w:rsid w:val="1C317CE2"/>
    <w:rsid w:val="1DD45808"/>
    <w:rsid w:val="1DED42AC"/>
    <w:rsid w:val="20005763"/>
    <w:rsid w:val="20FB313D"/>
    <w:rsid w:val="220B4804"/>
    <w:rsid w:val="24C97D99"/>
    <w:rsid w:val="278B653F"/>
    <w:rsid w:val="282475E3"/>
    <w:rsid w:val="289F4309"/>
    <w:rsid w:val="29E421D9"/>
    <w:rsid w:val="2C6100C1"/>
    <w:rsid w:val="31227DD0"/>
    <w:rsid w:val="3235157C"/>
    <w:rsid w:val="3264220D"/>
    <w:rsid w:val="32A83563"/>
    <w:rsid w:val="38872456"/>
    <w:rsid w:val="3963178C"/>
    <w:rsid w:val="3BA5236D"/>
    <w:rsid w:val="3CED0699"/>
    <w:rsid w:val="3EB02FD6"/>
    <w:rsid w:val="41CC2676"/>
    <w:rsid w:val="46B21672"/>
    <w:rsid w:val="47F958A1"/>
    <w:rsid w:val="4F552460"/>
    <w:rsid w:val="4FCC6863"/>
    <w:rsid w:val="500A214A"/>
    <w:rsid w:val="5019541D"/>
    <w:rsid w:val="522D604D"/>
    <w:rsid w:val="5297585E"/>
    <w:rsid w:val="52AD7D6F"/>
    <w:rsid w:val="5549519D"/>
    <w:rsid w:val="5557596B"/>
    <w:rsid w:val="55C56988"/>
    <w:rsid w:val="57C9597B"/>
    <w:rsid w:val="5B596DFC"/>
    <w:rsid w:val="5C3E01D7"/>
    <w:rsid w:val="5DAE6D00"/>
    <w:rsid w:val="5DF03945"/>
    <w:rsid w:val="5F03526B"/>
    <w:rsid w:val="5F3A2929"/>
    <w:rsid w:val="62E515AF"/>
    <w:rsid w:val="637C2815"/>
    <w:rsid w:val="644904C4"/>
    <w:rsid w:val="666B4FDC"/>
    <w:rsid w:val="67FF13C8"/>
    <w:rsid w:val="682144B7"/>
    <w:rsid w:val="6B503F77"/>
    <w:rsid w:val="6E311968"/>
    <w:rsid w:val="74F32D24"/>
    <w:rsid w:val="762123B9"/>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First Indent"/>
    <w:basedOn w:val="13"/>
    <w:qFormat/>
    <w:uiPriority w:val="0"/>
    <w:pPr>
      <w:spacing w:after="0"/>
      <w:ind w:firstLine="200" w:firstLineChars="200"/>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49"/>
    <w:semiHidden/>
    <w:unhideWhenUsed/>
    <w:qFormat/>
    <w:uiPriority w:val="99"/>
    <w:rPr>
      <w:sz w:val="18"/>
      <w:szCs w:val="18"/>
    </w:rPr>
  </w:style>
  <w:style w:type="paragraph" w:styleId="16">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7">
    <w:name w:val="Body Text First Indent 2"/>
    <w:basedOn w:val="14"/>
    <w:qFormat/>
    <w:uiPriority w:val="0"/>
    <w:pPr>
      <w:ind w:firstLine="420" w:firstLineChars="200"/>
    </w:pPr>
  </w:style>
  <w:style w:type="paragraph" w:styleId="18">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4">
    <w:name w:val="标题 1 字符"/>
    <w:basedOn w:val="20"/>
    <w:link w:val="3"/>
    <w:qFormat/>
    <w:uiPriority w:val="9"/>
    <w:rPr>
      <w:rFonts w:asciiTheme="majorHAnsi" w:hAnsiTheme="majorHAnsi" w:eastAsiaTheme="majorEastAsia"/>
      <w:b/>
      <w:bCs/>
      <w:kern w:val="32"/>
      <w:sz w:val="32"/>
      <w:szCs w:val="32"/>
    </w:rPr>
  </w:style>
  <w:style w:type="character" w:customStyle="1" w:styleId="25">
    <w:name w:val="标题 2 字符"/>
    <w:basedOn w:val="20"/>
    <w:link w:val="4"/>
    <w:semiHidden/>
    <w:qFormat/>
    <w:uiPriority w:val="9"/>
    <w:rPr>
      <w:rFonts w:asciiTheme="majorHAnsi" w:hAnsiTheme="majorHAnsi" w:eastAsiaTheme="majorEastAsia"/>
      <w:b/>
      <w:bCs/>
      <w:i/>
      <w:iCs/>
      <w:sz w:val="28"/>
      <w:szCs w:val="28"/>
    </w:rPr>
  </w:style>
  <w:style w:type="character" w:customStyle="1" w:styleId="26">
    <w:name w:val="标题 3 字符"/>
    <w:basedOn w:val="20"/>
    <w:link w:val="5"/>
    <w:semiHidden/>
    <w:qFormat/>
    <w:uiPriority w:val="9"/>
    <w:rPr>
      <w:rFonts w:asciiTheme="majorHAnsi" w:hAnsiTheme="majorHAnsi" w:eastAsiaTheme="majorEastAsia"/>
      <w:b/>
      <w:bCs/>
      <w:sz w:val="26"/>
      <w:szCs w:val="26"/>
    </w:rPr>
  </w:style>
  <w:style w:type="character" w:customStyle="1" w:styleId="27">
    <w:name w:val="标题 4 字符"/>
    <w:basedOn w:val="20"/>
    <w:link w:val="6"/>
    <w:semiHidden/>
    <w:qFormat/>
    <w:uiPriority w:val="9"/>
    <w:rPr>
      <w:b/>
      <w:bCs/>
      <w:sz w:val="28"/>
      <w:szCs w:val="28"/>
    </w:rPr>
  </w:style>
  <w:style w:type="character" w:customStyle="1" w:styleId="28">
    <w:name w:val="标题 5 字符"/>
    <w:basedOn w:val="20"/>
    <w:link w:val="7"/>
    <w:semiHidden/>
    <w:qFormat/>
    <w:uiPriority w:val="9"/>
    <w:rPr>
      <w:b/>
      <w:bCs/>
      <w:i/>
      <w:iCs/>
      <w:sz w:val="26"/>
      <w:szCs w:val="26"/>
    </w:rPr>
  </w:style>
  <w:style w:type="character" w:customStyle="1" w:styleId="29">
    <w:name w:val="标题 6 字符"/>
    <w:basedOn w:val="20"/>
    <w:link w:val="8"/>
    <w:semiHidden/>
    <w:qFormat/>
    <w:uiPriority w:val="9"/>
    <w:rPr>
      <w:b/>
      <w:bCs/>
    </w:rPr>
  </w:style>
  <w:style w:type="character" w:customStyle="1" w:styleId="30">
    <w:name w:val="标题 7 字符"/>
    <w:basedOn w:val="20"/>
    <w:link w:val="9"/>
    <w:semiHidden/>
    <w:qFormat/>
    <w:uiPriority w:val="9"/>
    <w:rPr>
      <w:sz w:val="24"/>
      <w:szCs w:val="24"/>
    </w:rPr>
  </w:style>
  <w:style w:type="character" w:customStyle="1" w:styleId="31">
    <w:name w:val="标题 8 字符"/>
    <w:basedOn w:val="20"/>
    <w:link w:val="10"/>
    <w:semiHidden/>
    <w:qFormat/>
    <w:uiPriority w:val="9"/>
    <w:rPr>
      <w:i/>
      <w:iCs/>
      <w:sz w:val="24"/>
      <w:szCs w:val="24"/>
    </w:rPr>
  </w:style>
  <w:style w:type="character" w:customStyle="1" w:styleId="32">
    <w:name w:val="标题 9 字符"/>
    <w:basedOn w:val="20"/>
    <w:link w:val="11"/>
    <w:semiHidden/>
    <w:qFormat/>
    <w:uiPriority w:val="9"/>
    <w:rPr>
      <w:rFonts w:asciiTheme="majorHAnsi" w:hAnsiTheme="majorHAnsi" w:eastAsiaTheme="majorEastAsia"/>
    </w:rPr>
  </w:style>
  <w:style w:type="character" w:customStyle="1" w:styleId="33">
    <w:name w:val="标题 字符"/>
    <w:basedOn w:val="20"/>
    <w:link w:val="2"/>
    <w:qFormat/>
    <w:uiPriority w:val="10"/>
    <w:rPr>
      <w:rFonts w:asciiTheme="majorHAnsi" w:hAnsiTheme="majorHAnsi" w:eastAsiaTheme="majorEastAsia"/>
      <w:b/>
      <w:bCs/>
      <w:kern w:val="28"/>
      <w:sz w:val="32"/>
      <w:szCs w:val="32"/>
    </w:rPr>
  </w:style>
  <w:style w:type="character" w:customStyle="1" w:styleId="34">
    <w:name w:val="副标题 字符"/>
    <w:basedOn w:val="20"/>
    <w:link w:val="19"/>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0"/>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0"/>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0"/>
    <w:qFormat/>
    <w:uiPriority w:val="21"/>
    <w:rPr>
      <w:b/>
      <w:i/>
      <w:sz w:val="24"/>
      <w:szCs w:val="24"/>
      <w:u w:val="single"/>
    </w:rPr>
  </w:style>
  <w:style w:type="character" w:customStyle="1" w:styleId="43">
    <w:name w:val="不明显参考1"/>
    <w:basedOn w:val="20"/>
    <w:qFormat/>
    <w:uiPriority w:val="31"/>
    <w:rPr>
      <w:sz w:val="24"/>
      <w:szCs w:val="24"/>
      <w:u w:val="single"/>
    </w:rPr>
  </w:style>
  <w:style w:type="character" w:customStyle="1" w:styleId="44">
    <w:name w:val="明显参考1"/>
    <w:basedOn w:val="20"/>
    <w:qFormat/>
    <w:uiPriority w:val="32"/>
    <w:rPr>
      <w:b/>
      <w:sz w:val="24"/>
      <w:u w:val="single"/>
    </w:rPr>
  </w:style>
  <w:style w:type="character" w:customStyle="1" w:styleId="45">
    <w:name w:val="书籍标题1"/>
    <w:basedOn w:val="20"/>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0"/>
    <w:link w:val="18"/>
    <w:qFormat/>
    <w:uiPriority w:val="99"/>
    <w:rPr>
      <w:rFonts w:ascii="Calibri" w:hAnsi="Calibri" w:eastAsia="宋体"/>
      <w:kern w:val="2"/>
      <w:sz w:val="18"/>
      <w:szCs w:val="18"/>
    </w:rPr>
  </w:style>
  <w:style w:type="character" w:customStyle="1" w:styleId="48">
    <w:name w:val="页脚 字符"/>
    <w:basedOn w:val="20"/>
    <w:link w:val="16"/>
    <w:qFormat/>
    <w:uiPriority w:val="99"/>
    <w:rPr>
      <w:rFonts w:ascii="Calibri" w:hAnsi="Calibri" w:eastAsia="宋体"/>
      <w:kern w:val="2"/>
      <w:sz w:val="18"/>
      <w:szCs w:val="18"/>
    </w:rPr>
  </w:style>
  <w:style w:type="character" w:customStyle="1" w:styleId="49">
    <w:name w:val="批注框文本 字符"/>
    <w:basedOn w:val="20"/>
    <w:link w:val="15"/>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7505</Words>
  <Characters>7908</Characters>
  <Lines>50</Lines>
  <Paragraphs>14</Paragraphs>
  <ScaleCrop>false</ScaleCrop>
  <LinksUpToDate>false</LinksUpToDate>
  <CharactersWithSpaces>7934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2023-03-16T04:45:00Z</cp:lastPrinted>
  <dcterms:modified xsi:type="dcterms:W3CDTF">2023-12-28T10:46:22Z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013360FACCE1418B80C968824022A9DF</vt:lpwstr>
  </property>
  <property fmtid="{D5CDD505-2E9C-101B-9397-08002B2CF9AE}" pid="4" name="KSOSaveFontToCloudKey">
    <vt:lpwstr>0_btnclosed</vt:lpwstr>
  </property>
</Properties>
</file>